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Feierstein Matthew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80205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06/01/2026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11.263</w:t>
            </w:r>
            <w:r>
              <w:rPr>
                <w:rFonts w:ascii="Times New Roman" w:cs="Times New Roman" w:eastAsia="Times New Roman" w:hAnsi="Times New Roman"/>
                <w:sz w:val="22"/>
                <w:szCs w:val="22"/>
                <w:color w:val="008000"/>
                <w:w w:val="95"/>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2,106,254</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06/02/2026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10.5342</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2,096,254</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06/03/2026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1,052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10.0499</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2,095,202</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06/03/2026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w w:val="93"/>
              </w:rPr>
              <w:t>4,273</w:t>
            </w:r>
            <w:r>
              <w:rPr>
                <w:rFonts w:ascii="Times New Roman" w:cs="Times New Roman" w:eastAsia="Times New Roman" w:hAnsi="Times New Roman"/>
                <w:sz w:val="22"/>
                <w:szCs w:val="22"/>
                <w:color w:val="008000"/>
                <w:w w:val="93"/>
                <w:vertAlign w:val="superscript"/>
              </w:rPr>
              <w:t>(4)</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9.43</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2,090,929</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$11.02 to $11.55.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$10.27 to $10.74.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 to $10.26.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Company to cover the reporting person's tax withholding obligation upon the vesting of Restricted Stock Units granted on March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All sale transactions reported herein were made pursuant to a Rule 10b5-1 trading plan dated August 20,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77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2026-06-03T17:22:40Z</dcterms:created>
  <dcterms:modified xsi:type="dcterms:W3CDTF">2026-06-03T17:22:40Z</dcterms:modified>
</cp:coreProperties>
</file>